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26"/>
          <w:szCs w:val="26"/>
        </w:rPr>
        <w:t xml:space="preserve">JOURNAL WEBSITE HOSTING ON THE GLOBALSCIENCEHUB.UZ PLATFORM AND MONTHLY TECHNICAL SERVICE SUBSCRIPTION</w:t>
      </w:r>
    </w:p>
    <w:p>
      <w:pPr>
        <w:spacing w:after="260"/>
        <w:jc w:val="center"/>
      </w:pPr>
      <w:r>
        <w:rPr>
          <w:rFonts w:ascii="Times New Roman" w:cs="Times New Roman" w:eastAsia="Times New Roman" w:hAnsi="Times New Roman"/>
          <w:b/>
          <w:bCs/>
          <w:sz w:val="26"/>
          <w:szCs w:val="26"/>
        </w:rPr>
        <w:t xml:space="preserve">AGREEMENT No. [ ]</w:t>
      </w:r>
    </w:p>
    <w:tbl>
      <w:tblPr>
        <w:tblW w:type="pct" w:w="100%"/>
        <w:tblBorders>
          <w:top w:val="none"/>
          <w:left w:val="none"/>
          <w:bottom w:val="none"/>
          <w:right w:val="none"/>
          <w:insideH w:val="none"/>
          <w:insideV w:val="none"/>
        </w:tblBorders>
      </w:tblPr>
      <w:tblGrid>
        <w:gridCol w:w="100"/>
        <w:gridCol w:w="100"/>
      </w:tblGrid>
      <w:tr>
        <w:tc>
          <w:tcPr>
            <w:tcW w:type="pct" w:w="50%"/>
          </w:tcPr>
          <w:p>
            <w:pPr>
              <w:spacing w:after="0"/>
              <w:jc w:val="left"/>
            </w:pPr>
            <w:r>
              <w:rPr>
                <w:rFonts w:ascii="Times New Roman" w:cs="Times New Roman" w:eastAsia="Times New Roman" w:hAnsi="Times New Roman"/>
                <w:b w:val="false"/>
                <w:bCs w:val="false"/>
                <w:i w:val="false"/>
                <w:iCs w:val="false"/>
                <w:sz w:val="22"/>
                <w:szCs w:val="22"/>
              </w:rPr>
              <w:t xml:space="preserve">Karshi</w:t>
            </w:r>
          </w:p>
        </w:tc>
        <w:tc>
          <w:tcPr>
            <w:tcW w:type="pct" w:w="50%"/>
          </w:tcPr>
          <w:p>
            <w:pPr>
              <w:spacing w:after="0"/>
              <w:jc w:val="right"/>
            </w:pPr>
            <w:r>
              <w:rPr>
                <w:rFonts w:ascii="Times New Roman" w:cs="Times New Roman" w:eastAsia="Times New Roman" w:hAnsi="Times New Roman"/>
                <w:b w:val="false"/>
                <w:bCs w:val="false"/>
                <w:i w:val="false"/>
                <w:iCs w:val="false"/>
                <w:sz w:val="22"/>
                <w:szCs w:val="22"/>
              </w:rPr>
              <w:t xml:space="preserve">[ ] [ ], 2026</w:t>
            </w:r>
          </w:p>
        </w:tc>
      </w:tr>
    </w:tbl>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“RUM PUBLISHING GROUP” LLC (Tax ID 312893995), represented by Director I.A. Yormurotov acting under the Charter (hereinafter — the “Contractor”), of the one part, and [FULL NAME OF CLIENT ORGANIZATION] (Tax ID [ ]), represented by [position] [Full name] acting under the [Charter / Regulations] (hereinafter — the “Client”), of the other part, jointly referred to as the “Parties” and individually as a “Party”, have entered into this Agreement (hereinafter — the “Agreement”) as follows.</w:t>
      </w:r>
    </w:p>
    <w:p>
      <w:pPr>
        <w:spacing w:after="160" w:before="320"/>
      </w:pPr>
      <w:r>
        <w:rPr>
          <w:rFonts w:ascii="Times New Roman" w:cs="Times New Roman" w:eastAsia="Times New Roman" w:hAnsi="Times New Roman"/>
          <w:b/>
          <w:bCs/>
          <w:sz w:val="24"/>
          <w:szCs w:val="24"/>
        </w:rPr>
        <w:t xml:space="preserve">1. SUBJECT OF THE AGREEMENT</w:t>
      </w:r>
    </w:p>
    <w:p>
      <w:pPr>
        <w:spacing w:after="160"/>
        <w:jc w:val="both"/>
      </w:pPr>
      <w:r>
        <w:rPr>
          <w:rFonts w:ascii="Times New Roman" w:cs="Times New Roman" w:eastAsia="Times New Roman" w:hAnsi="Times New Roman"/>
          <w:b w:val="false"/>
          <w:bCs w:val="false"/>
          <w:i w:val="false"/>
          <w:iCs w:val="false"/>
          <w:sz w:val="22"/>
          <w:szCs w:val="22"/>
        </w:rPr>
        <w:t xml:space="preserve">1.1. The Contractor undertakes, in accordance with the legislation of the Republic of Uzbekistan, to host the Client's scientific journal on the Contractor's multi-journal platform globalsciencehub.uz (one-time launch) and to provide monthly technical service in accordance with the tariff selected by the Client (hereinafter — the “Service”), and the Client undertakes to pay for this Service in the manner and on the terms established by this Agreement.</w:t>
      </w:r>
    </w:p>
    <w:p>
      <w:pPr>
        <w:spacing w:after="160"/>
        <w:jc w:val="both"/>
      </w:pPr>
      <w:r>
        <w:rPr>
          <w:rFonts w:ascii="Times New Roman" w:cs="Times New Roman" w:eastAsia="Times New Roman" w:hAnsi="Times New Roman"/>
          <w:b w:val="false"/>
          <w:bCs w:val="false"/>
          <w:i w:val="false"/>
          <w:iCs w:val="false"/>
          <w:sz w:val="22"/>
          <w:szCs w:val="22"/>
        </w:rPr>
        <w:t xml:space="preserve">1.2. The Service is provided on the globalsciencehub.uz platform, owned by the Contractor and hosting multiple journals. The Client is not allocated a separate domain, no independent website is created for the Client, and no separate hosting service is provided — such services are not included in the scope of this Agreement and, if the Client wishes, are selected separately under a separate agreement.</w:t>
      </w:r>
    </w:p>
    <w:p>
      <w:pPr>
        <w:spacing w:after="160"/>
        <w:jc w:val="both"/>
      </w:pPr>
      <w:r>
        <w:rPr>
          <w:rFonts w:ascii="Times New Roman" w:cs="Times New Roman" w:eastAsia="Times New Roman" w:hAnsi="Times New Roman"/>
          <w:b w:val="false"/>
          <w:bCs w:val="false"/>
          <w:i w:val="false"/>
          <w:iCs w:val="false"/>
          <w:sz w:val="22"/>
          <w:szCs w:val="22"/>
        </w:rPr>
        <w:t xml:space="preserve">1.3. The Client selects one of three tariffs (Basic, Standard, Premium) specified in the “Tariff Schedule” attached to this Agreement as Annex No. 1. The composition of the selected tariff, its storage and support-ticket limits, and its monthly price are precisely defined in Annex No. 1 and constitute an integral part of the Agreement.</w:t>
      </w:r>
    </w:p>
    <w:p>
      <w:pPr>
        <w:spacing w:after="160"/>
        <w:jc w:val="both"/>
      </w:pPr>
      <w:r>
        <w:rPr>
          <w:rFonts w:ascii="Times New Roman" w:cs="Times New Roman" w:eastAsia="Times New Roman" w:hAnsi="Times New Roman"/>
          <w:b w:val="false"/>
          <w:bCs w:val="false"/>
          <w:i w:val="false"/>
          <w:iCs w:val="false"/>
          <w:sz w:val="22"/>
          <w:szCs w:val="22"/>
        </w:rPr>
        <w:t xml:space="preserve">1.4. Tariff selected by the Parties: ___________________________ (enter the applicable name).</w:t>
      </w:r>
    </w:p>
    <w:p>
      <w:pPr>
        <w:spacing w:after="160"/>
        <w:jc w:val="both"/>
      </w:pPr>
      <w:r>
        <w:rPr>
          <w:rFonts w:ascii="Times New Roman" w:cs="Times New Roman" w:eastAsia="Times New Roman" w:hAnsi="Times New Roman"/>
          <w:b w:val="false"/>
          <w:bCs w:val="false"/>
          <w:i w:val="false"/>
          <w:iCs w:val="false"/>
          <w:sz w:val="22"/>
          <w:szCs w:val="22"/>
        </w:rPr>
        <w:t xml:space="preserve">1.5. The Client independently carries out the uploading of articles to the journal website, the management of the peer-review process, and other editorial/publishing functions. The Contractor is responsible solely for the technical functioning and security of the platform and for the support tickets provided for in this Agreement.</w:t>
      </w:r>
    </w:p>
    <w:p>
      <w:pPr>
        <w:spacing w:after="160" w:before="320"/>
      </w:pPr>
      <w:r>
        <w:rPr>
          <w:rFonts w:ascii="Times New Roman" w:cs="Times New Roman" w:eastAsia="Times New Roman" w:hAnsi="Times New Roman"/>
          <w:b/>
          <w:bCs/>
          <w:sz w:val="24"/>
          <w:szCs w:val="24"/>
        </w:rPr>
        <w:t xml:space="preserve">2. PROCEDURE AND TIMELINE FOR THE SERVICE</w:t>
      </w:r>
    </w:p>
    <w:p>
      <w:pPr>
        <w:spacing w:after="160"/>
        <w:jc w:val="both"/>
      </w:pPr>
      <w:r>
        <w:rPr>
          <w:rFonts w:ascii="Times New Roman" w:cs="Times New Roman" w:eastAsia="Times New Roman" w:hAnsi="Times New Roman"/>
          <w:b w:val="false"/>
          <w:bCs w:val="false"/>
          <w:i w:val="false"/>
          <w:iCs w:val="false"/>
          <w:sz w:val="22"/>
          <w:szCs w:val="22"/>
        </w:rPr>
        <w:t xml:space="preserve">2.1. Initial onboarding works — placing the journal on the platform, initial configuration, and launch — shall be performed within 5 (five) business days from the day the Client has provided the materials specified in clause 2.2 and made the first monthly payment (Section 3).</w:t>
      </w:r>
    </w:p>
    <w:p>
      <w:pPr>
        <w:spacing w:after="160"/>
        <w:jc w:val="both"/>
      </w:pPr>
      <w:r>
        <w:rPr>
          <w:rFonts w:ascii="Times New Roman" w:cs="Times New Roman" w:eastAsia="Times New Roman" w:hAnsi="Times New Roman"/>
          <w:b w:val="false"/>
          <w:bCs w:val="false"/>
          <w:i w:val="false"/>
          <w:iCs w:val="false"/>
          <w:sz w:val="22"/>
          <w:szCs w:val="22"/>
        </w:rPr>
        <w:t xml:space="preserve">2.2. Within 3 (three) business days from the date of signing the Agreement, the Client shall provide the Contractor with journal texts, logo, list of editors, and other necessary information.</w:t>
      </w:r>
    </w:p>
    <w:p>
      <w:pPr>
        <w:spacing w:after="160"/>
        <w:jc w:val="both"/>
      </w:pPr>
      <w:r>
        <w:rPr>
          <w:rFonts w:ascii="Times New Roman" w:cs="Times New Roman" w:eastAsia="Times New Roman" w:hAnsi="Times New Roman"/>
          <w:b w:val="false"/>
          <w:bCs w:val="false"/>
          <w:i w:val="false"/>
          <w:iCs w:val="false"/>
          <w:sz w:val="22"/>
          <w:szCs w:val="22"/>
        </w:rPr>
        <w:t xml:space="preserve">2.3. After the website is launched, monthly support tickets (minor technical changes, technical support) shall be reviewed and completed within the monthly limit established by the selected tariff, typically within 2 (two) business days. The timeframe for complex tickets shall be agreed separately by the Parties.</w:t>
      </w:r>
    </w:p>
    <w:p>
      <w:pPr>
        <w:spacing w:after="160"/>
        <w:jc w:val="both"/>
      </w:pPr>
      <w:r>
        <w:rPr>
          <w:rFonts w:ascii="Times New Roman" w:cs="Times New Roman" w:eastAsia="Times New Roman" w:hAnsi="Times New Roman"/>
          <w:b w:val="false"/>
          <w:bCs w:val="false"/>
          <w:i w:val="false"/>
          <w:iCs w:val="false"/>
          <w:sz w:val="22"/>
          <w:szCs w:val="22"/>
        </w:rPr>
        <w:t xml:space="preserve">2.4. The monthly support-ticket limit established by the selected tariff does not carry over to the following month. Tickets exceeding the limit may be completed for an additional fee if agreed by the Parties.</w:t>
      </w:r>
    </w:p>
    <w:p>
      <w:pPr>
        <w:spacing w:after="160" w:before="320"/>
      </w:pPr>
      <w:r>
        <w:rPr>
          <w:rFonts w:ascii="Times New Roman" w:cs="Times New Roman" w:eastAsia="Times New Roman" w:hAnsi="Times New Roman"/>
          <w:b/>
          <w:bCs/>
          <w:sz w:val="24"/>
          <w:szCs w:val="24"/>
        </w:rPr>
        <w:t xml:space="preserve">3. AGREEMENT PRICE AND PAYMENT PROCEDURE</w:t>
      </w:r>
    </w:p>
    <w:p>
      <w:pPr>
        <w:spacing w:after="160"/>
        <w:jc w:val="both"/>
      </w:pPr>
      <w:r>
        <w:rPr>
          <w:rFonts w:ascii="Times New Roman" w:cs="Times New Roman" w:eastAsia="Times New Roman" w:hAnsi="Times New Roman"/>
          <w:b w:val="false"/>
          <w:bCs w:val="false"/>
          <w:i w:val="false"/>
          <w:iCs w:val="false"/>
          <w:sz w:val="22"/>
          <w:szCs w:val="22"/>
        </w:rPr>
        <w:t xml:space="preserve">3.1. The monthly price of the Service for the selected tariff is defined in Annex No. 1 and is stated [inclusive of VAT / exclusive of VAT — mark the applicable option] in accordance with the tax legislation of the Republic of Uzbekistan.</w:t>
      </w:r>
    </w:p>
    <w:p>
      <w:pPr>
        <w:spacing w:after="160"/>
        <w:jc w:val="both"/>
      </w:pPr>
      <w:r>
        <w:rPr>
          <w:rFonts w:ascii="Times New Roman" w:cs="Times New Roman" w:eastAsia="Times New Roman" w:hAnsi="Times New Roman"/>
          <w:b w:val="false"/>
          <w:bCs w:val="false"/>
          <w:i w:val="false"/>
          <w:iCs w:val="false"/>
          <w:sz w:val="22"/>
          <w:szCs w:val="22"/>
        </w:rPr>
        <w:t xml:space="preserve">3.2. Payment for the first month shall be made at the discounted price specified in Annex No. 1. Starting from the second month, payment for each subsequent month shall be made at the full (non-discounted) price specified in Annex No. 1.</w:t>
      </w:r>
    </w:p>
    <w:p>
      <w:pPr>
        <w:spacing w:after="160"/>
        <w:jc w:val="both"/>
      </w:pPr>
      <w:r>
        <w:rPr>
          <w:rFonts w:ascii="Times New Roman" w:cs="Times New Roman" w:eastAsia="Times New Roman" w:hAnsi="Times New Roman"/>
          <w:b w:val="false"/>
          <w:bCs w:val="false"/>
          <w:i w:val="false"/>
          <w:iCs w:val="false"/>
          <w:sz w:val="22"/>
          <w:szCs w:val="22"/>
        </w:rPr>
        <w:t xml:space="preserve">3.3. The monthly payment shall be made before the start of each billing month by non-cash transfer to the Contractor's bank account based on an invoice issued by the Contractor.</w:t>
      </w:r>
    </w:p>
    <w:p>
      <w:pPr>
        <w:spacing w:after="160"/>
        <w:jc w:val="both"/>
      </w:pPr>
      <w:r>
        <w:rPr>
          <w:rFonts w:ascii="Times New Roman" w:cs="Times New Roman" w:eastAsia="Times New Roman" w:hAnsi="Times New Roman"/>
          <w:b w:val="false"/>
          <w:bCs w:val="false"/>
          <w:i w:val="false"/>
          <w:iCs w:val="false"/>
          <w:sz w:val="22"/>
          <w:szCs w:val="22"/>
        </w:rPr>
        <w:t xml:space="preserve">3.4. If payment is delayed by more than 5 (five) calendar days, the Contractor shall be entitled to suspend the provision of the Service; after the debt is fully settled, the Service shall be resumed within 1 (one) business day.</w:t>
      </w:r>
    </w:p>
    <w:p>
      <w:pPr>
        <w:spacing w:after="160"/>
        <w:jc w:val="both"/>
      </w:pPr>
      <w:r>
        <w:rPr>
          <w:rFonts w:ascii="Times New Roman" w:cs="Times New Roman" w:eastAsia="Times New Roman" w:hAnsi="Times New Roman"/>
          <w:b w:val="false"/>
          <w:bCs w:val="false"/>
          <w:i w:val="false"/>
          <w:iCs w:val="false"/>
          <w:sz w:val="22"/>
          <w:szCs w:val="22"/>
        </w:rPr>
        <w:t xml:space="preserve">3.5. If payment is delayed by more than 30 (thirty) calendar days, the Contractor shall be entitled, having notified the Client in writing at least 7 (seven) calendar days in advance, to unilaterally terminate the Agreement and, having offered the Client a data export under the procedure set out in Section 6, remove the Client's data from the platform.</w:t>
      </w:r>
    </w:p>
    <w:p>
      <w:pPr>
        <w:spacing w:after="160" w:before="320"/>
      </w:pPr>
      <w:r>
        <w:rPr>
          <w:rFonts w:ascii="Times New Roman" w:cs="Times New Roman" w:eastAsia="Times New Roman" w:hAnsi="Times New Roman"/>
          <w:b/>
          <w:bCs/>
          <w:sz w:val="24"/>
          <w:szCs w:val="24"/>
        </w:rPr>
        <w:t xml:space="preserve">4. STORAGE AND RESOURCE LIMITS</w:t>
      </w:r>
    </w:p>
    <w:p>
      <w:pPr>
        <w:spacing w:after="160"/>
        <w:jc w:val="both"/>
      </w:pPr>
      <w:r>
        <w:rPr>
          <w:rFonts w:ascii="Times New Roman" w:cs="Times New Roman" w:eastAsia="Times New Roman" w:hAnsi="Times New Roman"/>
          <w:b w:val="false"/>
          <w:bCs w:val="false"/>
          <w:i w:val="false"/>
          <w:iCs w:val="false"/>
          <w:sz w:val="22"/>
          <w:szCs w:val="22"/>
        </w:rPr>
        <w:t xml:space="preserve">4.1. Each tariff has a limited amount of storage within the platform (Annex No. 1). If the Client's usage exceeds this limit, the Contractor shall notify the Client and offer to upgrade to a higher tariff or purchase additional storage; the price of additional storage shall be agreed separately by the Parties.</w:t>
      </w:r>
    </w:p>
    <w:p>
      <w:pPr>
        <w:spacing w:after="160" w:before="320"/>
      </w:pPr>
      <w:r>
        <w:rPr>
          <w:rFonts w:ascii="Times New Roman" w:cs="Times New Roman" w:eastAsia="Times New Roman" w:hAnsi="Times New Roman"/>
          <w:b/>
          <w:bCs/>
          <w:sz w:val="24"/>
          <w:szCs w:val="24"/>
        </w:rPr>
        <w:t xml:space="preserve">5. RIGHTS AND OBLIGATIONS OF THE PARTIES</w:t>
      </w:r>
    </w:p>
    <w:p>
      <w:pPr>
        <w:spacing w:after="160"/>
        <w:jc w:val="both"/>
      </w:pPr>
      <w:r>
        <w:rPr>
          <w:rFonts w:ascii="Times New Roman" w:cs="Times New Roman" w:eastAsia="Times New Roman" w:hAnsi="Times New Roman"/>
          <w:b w:val="false"/>
          <w:bCs w:val="false"/>
          <w:i w:val="false"/>
          <w:iCs w:val="false"/>
          <w:sz w:val="22"/>
          <w:szCs w:val="22"/>
        </w:rPr>
        <w:t xml:space="preserve">5.1. The Contractor shall:</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ensure the technical operability and security of the platform and the validity of the SSL certificate;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maintain backups in accordance with the selected tariff;</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perform monthly support tickets within the limit established by the selected tariff;</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ensure the security of the Client's confidential information.</w:t>
      </w:r>
    </w:p>
    <w:p>
      <w:pPr>
        <w:spacing w:after="80" w:before="120"/>
        <w:jc w:val="both"/>
      </w:pPr>
      <w:r>
        <w:rPr>
          <w:rFonts w:ascii="Times New Roman" w:cs="Times New Roman" w:eastAsia="Times New Roman" w:hAnsi="Times New Roman"/>
          <w:b w:val="false"/>
          <w:bCs w:val="false"/>
          <w:i w:val="false"/>
          <w:iCs w:val="false"/>
          <w:sz w:val="22"/>
          <w:szCs w:val="22"/>
        </w:rPr>
        <w:t xml:space="preserve">5.2. The Client shall:</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provide the materials specified in clause 2.2 in a timely manner;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make the monthly payments established in Section 3 in a timely manner;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independently perform article uploads, peer review, and other editorial/publishing functions (clause 1.5);</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not use the platform for unlawful purposes or in violation of the rights of third parties.</w:t>
      </w:r>
    </w:p>
    <w:p>
      <w:pPr>
        <w:spacing w:after="160" w:before="320"/>
      </w:pPr>
      <w:r>
        <w:rPr>
          <w:rFonts w:ascii="Times New Roman" w:cs="Times New Roman" w:eastAsia="Times New Roman" w:hAnsi="Times New Roman"/>
          <w:b/>
          <w:bCs/>
          <w:sz w:val="24"/>
          <w:szCs w:val="24"/>
        </w:rPr>
        <w:t xml:space="preserve">6. DATA EXPORT AND PORTABILITY</w:t>
      </w:r>
    </w:p>
    <w:p>
      <w:pPr>
        <w:spacing w:after="160"/>
        <w:jc w:val="both"/>
      </w:pPr>
      <w:r>
        <w:rPr>
          <w:rFonts w:ascii="Times New Roman" w:cs="Times New Roman" w:eastAsia="Times New Roman" w:hAnsi="Times New Roman"/>
          <w:b w:val="false"/>
          <w:bCs w:val="false"/>
          <w:i w:val="false"/>
          <w:iCs w:val="false"/>
          <w:sz w:val="22"/>
          <w:szCs w:val="22"/>
        </w:rPr>
        <w:t xml:space="preserve">6.1. If the Agreement is terminated with the Client's payment obligations fully performed, the Contractor shall, upon the Client's written request, provide within 10 (ten) business days a full export of the journal's data (articles, metadata, user list) free of charge, enabling the Client to migrate the journal to another platform or an independent website.</w:t>
      </w:r>
    </w:p>
    <w:p>
      <w:pPr>
        <w:spacing w:after="160"/>
        <w:jc w:val="both"/>
      </w:pPr>
      <w:r>
        <w:rPr>
          <w:rFonts w:ascii="Times New Roman" w:cs="Times New Roman" w:eastAsia="Times New Roman" w:hAnsi="Times New Roman"/>
          <w:b w:val="false"/>
          <w:bCs w:val="false"/>
          <w:i w:val="false"/>
          <w:iCs w:val="false"/>
          <w:sz w:val="22"/>
          <w:szCs w:val="22"/>
        </w:rPr>
        <w:t xml:space="preserve">6.2. If the Agreement is terminated under clause 3.5 due to a breach of payment obligations, the data export shall be provided only after the debt has been fully settled.</w:t>
      </w:r>
    </w:p>
    <w:p>
      <w:pPr>
        <w:spacing w:after="160" w:before="320"/>
      </w:pPr>
      <w:r>
        <w:rPr>
          <w:rFonts w:ascii="Times New Roman" w:cs="Times New Roman" w:eastAsia="Times New Roman" w:hAnsi="Times New Roman"/>
          <w:b/>
          <w:bCs/>
          <w:sz w:val="24"/>
          <w:szCs w:val="24"/>
        </w:rPr>
        <w:t xml:space="preserve">7. LIABILITY OF THE PARTIES</w:t>
      </w:r>
    </w:p>
    <w:p>
      <w:pPr>
        <w:spacing w:after="160"/>
        <w:jc w:val="both"/>
      </w:pPr>
      <w:r>
        <w:rPr>
          <w:rFonts w:ascii="Times New Roman" w:cs="Times New Roman" w:eastAsia="Times New Roman" w:hAnsi="Times New Roman"/>
          <w:b w:val="false"/>
          <w:bCs w:val="false"/>
          <w:i w:val="false"/>
          <w:iCs w:val="false"/>
          <w:sz w:val="22"/>
          <w:szCs w:val="22"/>
        </w:rPr>
        <w:t xml:space="preserve">7.1. A Party that fails to perform or improperly performs its obligations under the Agreement shall be liable to the other Party in accordance with the applicable legislation of the Republic of Uzbekistan.</w:t>
      </w:r>
    </w:p>
    <w:p>
      <w:pPr>
        <w:spacing w:after="160"/>
        <w:jc w:val="both"/>
      </w:pPr>
      <w:r>
        <w:rPr>
          <w:rFonts w:ascii="Times New Roman" w:cs="Times New Roman" w:eastAsia="Times New Roman" w:hAnsi="Times New Roman"/>
          <w:b w:val="false"/>
          <w:bCs w:val="false"/>
          <w:i w:val="false"/>
          <w:iCs w:val="false"/>
          <w:sz w:val="22"/>
          <w:szCs w:val="22"/>
        </w:rPr>
        <w:t xml:space="preserve">7.2. The Contractor shall not be liable for the content uploaded by the Client, its scientific quality, or any infringement of third-party rights — such liability rests entirely with the Client.</w:t>
      </w:r>
    </w:p>
    <w:p>
      <w:pPr>
        <w:spacing w:after="160"/>
        <w:jc w:val="both"/>
      </w:pPr>
      <w:r>
        <w:rPr>
          <w:rFonts w:ascii="Times New Roman" w:cs="Times New Roman" w:eastAsia="Times New Roman" w:hAnsi="Times New Roman"/>
          <w:b w:val="false"/>
          <w:bCs w:val="false"/>
          <w:i w:val="false"/>
          <w:iCs w:val="false"/>
          <w:sz w:val="22"/>
          <w:szCs w:val="22"/>
        </w:rPr>
        <w:t xml:space="preserve">7.3. In any event, the Contractor's total financial liability to the Client shall not exceed the amount paid by the Client for the most recent 1 (one) month.</w:t>
      </w:r>
    </w:p>
    <w:p>
      <w:pPr>
        <w:spacing w:after="160" w:before="320"/>
      </w:pPr>
      <w:r>
        <w:rPr>
          <w:rFonts w:ascii="Times New Roman" w:cs="Times New Roman" w:eastAsia="Times New Roman" w:hAnsi="Times New Roman"/>
          <w:b/>
          <w:bCs/>
          <w:sz w:val="24"/>
          <w:szCs w:val="24"/>
        </w:rPr>
        <w:t xml:space="preserve">8. INTELLECTUAL PROPERTY RIGHTS</w:t>
      </w:r>
    </w:p>
    <w:p>
      <w:pPr>
        <w:spacing w:after="160"/>
        <w:jc w:val="both"/>
      </w:pPr>
      <w:r>
        <w:rPr>
          <w:rFonts w:ascii="Times New Roman" w:cs="Times New Roman" w:eastAsia="Times New Roman" w:hAnsi="Times New Roman"/>
          <w:b w:val="false"/>
          <w:bCs w:val="false"/>
          <w:i w:val="false"/>
          <w:iCs w:val="false"/>
          <w:sz w:val="22"/>
          <w:szCs w:val="22"/>
        </w:rPr>
        <w:t xml:space="preserve">8.1. Copyright to the scientific articles, texts, and other content of the Client's journal shall remain fully with the Client and the respective authors.</w:t>
      </w:r>
    </w:p>
    <w:p>
      <w:pPr>
        <w:spacing w:after="160"/>
        <w:jc w:val="both"/>
      </w:pPr>
      <w:r>
        <w:rPr>
          <w:rFonts w:ascii="Times New Roman" w:cs="Times New Roman" w:eastAsia="Times New Roman" w:hAnsi="Times New Roman"/>
          <w:b w:val="false"/>
          <w:bCs w:val="false"/>
          <w:i w:val="false"/>
          <w:iCs w:val="false"/>
          <w:sz w:val="22"/>
          <w:szCs w:val="22"/>
        </w:rPr>
        <w:t xml:space="preserve">8.2. The design, source code, and infrastructure of the globalsciencehub.uz platform remain the property of the Contractor and do not transfer to the Client under this Agreement.</w:t>
      </w:r>
    </w:p>
    <w:p>
      <w:pPr>
        <w:spacing w:after="160"/>
        <w:jc w:val="both"/>
      </w:pPr>
      <w:r>
        <w:rPr>
          <w:rFonts w:ascii="Times New Roman" w:cs="Times New Roman" w:eastAsia="Times New Roman" w:hAnsi="Times New Roman"/>
          <w:b w:val="false"/>
          <w:bCs w:val="false"/>
          <w:i w:val="false"/>
          <w:iCs w:val="false"/>
          <w:sz w:val="22"/>
          <w:szCs w:val="22"/>
        </w:rPr>
        <w:t xml:space="preserve">8.3. The Open Journal Systems (OJS) software is open-source software, the copyright to which is governed by the Public Knowledge Project (PKP).</w:t>
      </w:r>
    </w:p>
    <w:p>
      <w:pPr>
        <w:spacing w:after="160" w:before="320"/>
      </w:pPr>
      <w:r>
        <w:rPr>
          <w:rFonts w:ascii="Times New Roman" w:cs="Times New Roman" w:eastAsia="Times New Roman" w:hAnsi="Times New Roman"/>
          <w:b/>
          <w:bCs/>
          <w:sz w:val="24"/>
          <w:szCs w:val="24"/>
        </w:rPr>
        <w:t xml:space="preserve">9. CONFIDENTIALITY</w:t>
      </w:r>
    </w:p>
    <w:p>
      <w:pPr>
        <w:spacing w:after="160"/>
        <w:jc w:val="both"/>
      </w:pPr>
      <w:r>
        <w:rPr>
          <w:rFonts w:ascii="Times New Roman" w:cs="Times New Roman" w:eastAsia="Times New Roman" w:hAnsi="Times New Roman"/>
          <w:b w:val="false"/>
          <w:bCs w:val="false"/>
          <w:i w:val="false"/>
          <w:iCs w:val="false"/>
          <w:sz w:val="22"/>
          <w:szCs w:val="22"/>
        </w:rPr>
        <w:t xml:space="preserve">9.1. The Parties undertake not to disclose to third parties any confidential information obtained about each other in the course of performing this Agreement (including access passwords and financial terms), except as provided by law.</w:t>
      </w:r>
    </w:p>
    <w:p>
      <w:pPr>
        <w:spacing w:after="160" w:before="320"/>
      </w:pPr>
      <w:r>
        <w:rPr>
          <w:rFonts w:ascii="Times New Roman" w:cs="Times New Roman" w:eastAsia="Times New Roman" w:hAnsi="Times New Roman"/>
          <w:b/>
          <w:bCs/>
          <w:sz w:val="24"/>
          <w:szCs w:val="24"/>
        </w:rPr>
        <w:t xml:space="preserve">10. FORCE MAJEURE</w:t>
      </w:r>
    </w:p>
    <w:p>
      <w:pPr>
        <w:spacing w:after="160"/>
        <w:jc w:val="both"/>
      </w:pPr>
      <w:r>
        <w:rPr>
          <w:rFonts w:ascii="Times New Roman" w:cs="Times New Roman" w:eastAsia="Times New Roman" w:hAnsi="Times New Roman"/>
          <w:b w:val="false"/>
          <w:bCs w:val="false"/>
          <w:i w:val="false"/>
          <w:iCs w:val="false"/>
          <w:sz w:val="22"/>
          <w:szCs w:val="22"/>
        </w:rPr>
        <w:t xml:space="preserve">10.1. In the event of force majeure circumstances (natural disasters, emergencies, acts of war, decisions of state authorities directly affecting the Parties' activities), the Parties shall be released from performing their obligations for the duration of such circumstances.</w:t>
      </w:r>
    </w:p>
    <w:p>
      <w:pPr>
        <w:spacing w:after="160"/>
        <w:jc w:val="both"/>
      </w:pPr>
      <w:r>
        <w:rPr>
          <w:rFonts w:ascii="Times New Roman" w:cs="Times New Roman" w:eastAsia="Times New Roman" w:hAnsi="Times New Roman"/>
          <w:b w:val="false"/>
          <w:bCs w:val="false"/>
          <w:i w:val="false"/>
          <w:iCs w:val="false"/>
          <w:sz w:val="22"/>
          <w:szCs w:val="22"/>
        </w:rPr>
        <w:t xml:space="preserve">10.2. The Party affected by force majeure shall notify the other Party in writing within 5 (five) calendar days.</w:t>
      </w:r>
    </w:p>
    <w:p>
      <w:pPr>
        <w:spacing w:after="160" w:before="320"/>
      </w:pPr>
      <w:r>
        <w:rPr>
          <w:rFonts w:ascii="Times New Roman" w:cs="Times New Roman" w:eastAsia="Times New Roman" w:hAnsi="Times New Roman"/>
          <w:b/>
          <w:bCs/>
          <w:sz w:val="24"/>
          <w:szCs w:val="24"/>
        </w:rPr>
        <w:t xml:space="preserve">11. DISPUTE RESOLUTION</w:t>
      </w:r>
    </w:p>
    <w:p>
      <w:pPr>
        <w:spacing w:after="160"/>
        <w:jc w:val="both"/>
      </w:pPr>
      <w:r>
        <w:rPr>
          <w:rFonts w:ascii="Times New Roman" w:cs="Times New Roman" w:eastAsia="Times New Roman" w:hAnsi="Times New Roman"/>
          <w:b w:val="false"/>
          <w:bCs w:val="false"/>
          <w:i w:val="false"/>
          <w:iCs w:val="false"/>
          <w:sz w:val="22"/>
          <w:szCs w:val="22"/>
        </w:rPr>
        <w:t xml:space="preserve">11.1. All disputes and disagreements arising in the course of performing this Agreement shall first be resolved through negotiations between the Parties.</w:t>
      </w:r>
    </w:p>
    <w:p>
      <w:pPr>
        <w:spacing w:after="160"/>
        <w:jc w:val="both"/>
      </w:pPr>
      <w:r>
        <w:rPr>
          <w:rFonts w:ascii="Times New Roman" w:cs="Times New Roman" w:eastAsia="Times New Roman" w:hAnsi="Times New Roman"/>
          <w:b w:val="false"/>
          <w:bCs w:val="false"/>
          <w:i w:val="false"/>
          <w:iCs w:val="false"/>
          <w:sz w:val="22"/>
          <w:szCs w:val="22"/>
        </w:rPr>
        <w:t xml:space="preserve">11.2. If agreement is not reached through negotiations, the dispute shall be resolved through the courts in accordance with the procedure established by the applicable legislation of the Republic of Uzbekistan.</w:t>
      </w:r>
    </w:p>
    <w:p>
      <w:pPr>
        <w:spacing w:after="160" w:before="320"/>
      </w:pPr>
      <w:r>
        <w:rPr>
          <w:rFonts w:ascii="Times New Roman" w:cs="Times New Roman" w:eastAsia="Times New Roman" w:hAnsi="Times New Roman"/>
          <w:b/>
          <w:bCs/>
          <w:sz w:val="24"/>
          <w:szCs w:val="24"/>
        </w:rPr>
        <w:t xml:space="preserve">12. TERM AND TERMINATION OF THE AGREEMENT</w:t>
      </w:r>
    </w:p>
    <w:p>
      <w:pPr>
        <w:spacing w:after="160"/>
        <w:jc w:val="both"/>
      </w:pPr>
      <w:r>
        <w:rPr>
          <w:rFonts w:ascii="Times New Roman" w:cs="Times New Roman" w:eastAsia="Times New Roman" w:hAnsi="Times New Roman"/>
          <w:b w:val="false"/>
          <w:bCs w:val="false"/>
          <w:i w:val="false"/>
          <w:iCs w:val="false"/>
          <w:sz w:val="22"/>
          <w:szCs w:val="22"/>
        </w:rPr>
        <w:t xml:space="preserve">12.1. This Agreement shall enter into force on the date of its signing by the Parties and shall operate as an indefinite monthly subscription — automatically renewing each month until either Party terminates it in the manner established by this Section.</w:t>
      </w:r>
    </w:p>
    <w:p>
      <w:pPr>
        <w:spacing w:after="160"/>
        <w:jc w:val="both"/>
      </w:pPr>
      <w:r>
        <w:rPr>
          <w:rFonts w:ascii="Times New Roman" w:cs="Times New Roman" w:eastAsia="Times New Roman" w:hAnsi="Times New Roman"/>
          <w:b w:val="false"/>
          <w:bCs w:val="false"/>
          <w:i w:val="false"/>
          <w:iCs w:val="false"/>
          <w:sz w:val="22"/>
          <w:szCs w:val="22"/>
        </w:rPr>
        <w:t xml:space="preserve">12.2. Either Party shall be entitled to terminate the Agreement effective from the start of the following month by notifying the other Party in writing at least 10 (ten) calendar days in advance. In such case, the payment made by the Client for the current month shall not be refunded, but the Service shall continue to be provided until the end of the current month.</w:t>
      </w:r>
    </w:p>
    <w:p>
      <w:pPr>
        <w:spacing w:after="160"/>
        <w:jc w:val="both"/>
      </w:pPr>
      <w:r>
        <w:rPr>
          <w:rFonts w:ascii="Times New Roman" w:cs="Times New Roman" w:eastAsia="Times New Roman" w:hAnsi="Times New Roman"/>
          <w:b w:val="false"/>
          <w:bCs w:val="false"/>
          <w:i w:val="false"/>
          <w:iCs w:val="false"/>
          <w:sz w:val="22"/>
          <w:szCs w:val="22"/>
        </w:rPr>
        <w:t xml:space="preserve">12.3. Amendments and additions to the Agreement, including a change of tariff, shall be made by written agreement of the Parties.</w:t>
      </w:r>
    </w:p>
    <w:p>
      <w:pPr>
        <w:spacing w:after="160" w:before="320"/>
      </w:pPr>
      <w:r>
        <w:rPr>
          <w:rFonts w:ascii="Times New Roman" w:cs="Times New Roman" w:eastAsia="Times New Roman" w:hAnsi="Times New Roman"/>
          <w:b/>
          <w:bCs/>
          <w:sz w:val="24"/>
          <w:szCs w:val="24"/>
        </w:rPr>
        <w:t xml:space="preserve">13. FINAL PROVISIONS</w:t>
      </w:r>
    </w:p>
    <w:p>
      <w:pPr>
        <w:spacing w:after="160"/>
        <w:jc w:val="both"/>
      </w:pPr>
      <w:r>
        <w:rPr>
          <w:rFonts w:ascii="Times New Roman" w:cs="Times New Roman" w:eastAsia="Times New Roman" w:hAnsi="Times New Roman"/>
          <w:b w:val="false"/>
          <w:bCs w:val="false"/>
          <w:i w:val="false"/>
          <w:iCs w:val="false"/>
          <w:sz w:val="22"/>
          <w:szCs w:val="22"/>
        </w:rPr>
        <w:t xml:space="preserve">13.1. This Agreement is drawn up in the state language in 2 (two) counterparts of equal legal force, one for each Party.</w:t>
      </w:r>
    </w:p>
    <w:p>
      <w:pPr>
        <w:spacing w:after="160"/>
        <w:jc w:val="both"/>
      </w:pPr>
      <w:r>
        <w:rPr>
          <w:rFonts w:ascii="Times New Roman" w:cs="Times New Roman" w:eastAsia="Times New Roman" w:hAnsi="Times New Roman"/>
          <w:b w:val="false"/>
          <w:bCs w:val="false"/>
          <w:i w:val="false"/>
          <w:iCs w:val="false"/>
          <w:sz w:val="22"/>
          <w:szCs w:val="22"/>
        </w:rPr>
        <w:t xml:space="preserve">13.2. Matters not provided for in the Agreement shall be governed by the applicable legislation of the Republic of Uzbekistan.</w:t>
      </w:r>
    </w:p>
    <w:p>
      <w:pPr>
        <w:spacing w:after="160"/>
        <w:jc w:val="both"/>
      </w:pPr>
      <w:r>
        <w:rPr>
          <w:rFonts w:ascii="Times New Roman" w:cs="Times New Roman" w:eastAsia="Times New Roman" w:hAnsi="Times New Roman"/>
          <w:b w:val="false"/>
          <w:bCs w:val="false"/>
          <w:i w:val="false"/>
          <w:iCs w:val="false"/>
          <w:sz w:val="22"/>
          <w:szCs w:val="22"/>
        </w:rPr>
        <w:t xml:space="preserve">13.3. Annex No. 1 to this Agreement (“Tariff Schedule”) constitutes an integral part of the Agreement.</w:t>
      </w:r>
    </w:p>
    <w:p>
      <w:pPr>
        <w:spacing w:after="300"/>
      </w:pPr>
    </w:p>
    <w:p>
      <w:pPr>
        <w:spacing w:after="160" w:before="320"/>
      </w:pPr>
      <w:r>
        <w:rPr>
          <w:rFonts w:ascii="Times New Roman" w:cs="Times New Roman" w:eastAsia="Times New Roman" w:hAnsi="Times New Roman"/>
          <w:b/>
          <w:bCs/>
          <w:sz w:val="24"/>
          <w:szCs w:val="24"/>
        </w:rPr>
        <w:t xml:space="preserve">14. ADDRESSES AND DETAILS OF THE PARTIES</w:t>
      </w:r>
    </w:p>
    <w:tbl>
      <w:tblPr>
        <w:tblW w:type="pct" w:w="100%"/>
        <w:tblBorders>
          <w:top w:val="none"/>
          <w:left w:val="none"/>
          <w:bottom w:val="none"/>
          <w:right w:val="none"/>
          <w:insideH w:val="none"/>
          <w:insideV w:val="none"/>
        </w:tblBorders>
      </w:tblPr>
      <w:tblGrid>
        <w:gridCol w:w="4820"/>
        <w:gridCol w:w="4820"/>
      </w:tblGrid>
      <w:tr>
        <w:tc>
          <w:tcPr>
            <w:tcW w:type="dxa" w:w="4820"/>
          </w:tcPr>
          <w:p>
            <w:pPr>
              <w:spacing w:after="100"/>
              <w:jc w:val="both"/>
            </w:pPr>
            <w:r>
              <w:rPr>
                <w:rFonts w:ascii="Times New Roman" w:cs="Times New Roman" w:eastAsia="Times New Roman" w:hAnsi="Times New Roman"/>
                <w:b/>
                <w:bCs/>
                <w:i w:val="false"/>
                <w:iCs w:val="false"/>
                <w:sz w:val="22"/>
                <w:szCs w:val="22"/>
              </w:rPr>
              <w:t xml:space="preserve">CONTRACTOR:</w:t>
            </w:r>
          </w:p>
          <w:p>
            <w:pPr>
              <w:spacing w:after="40"/>
              <w:jc w:val="both"/>
            </w:pPr>
            <w:r>
              <w:rPr>
                <w:rFonts w:ascii="Times New Roman" w:cs="Times New Roman" w:eastAsia="Times New Roman" w:hAnsi="Times New Roman"/>
                <w:b w:val="false"/>
                <w:bCs w:val="false"/>
                <w:i w:val="false"/>
                <w:iCs w:val="false"/>
                <w:sz w:val="22"/>
                <w:szCs w:val="22"/>
              </w:rPr>
              <w:t xml:space="preserve">“RUM PUBLISHING GROUP” LLC</w:t>
            </w:r>
          </w:p>
          <w:p>
            <w:pPr>
              <w:spacing w:after="40"/>
              <w:jc w:val="both"/>
            </w:pPr>
            <w:r>
              <w:rPr>
                <w:rFonts w:ascii="Times New Roman" w:cs="Times New Roman" w:eastAsia="Times New Roman" w:hAnsi="Times New Roman"/>
                <w:b w:val="false"/>
                <w:bCs w:val="false"/>
                <w:i w:val="false"/>
                <w:iCs w:val="false"/>
                <w:sz w:val="22"/>
                <w:szCs w:val="22"/>
              </w:rPr>
              <w:t xml:space="preserve">Address: Mustaqillik Ave. 15-46, Karshi, Kashkadarya Region, Uzbekistan</w:t>
            </w:r>
          </w:p>
          <w:p>
            <w:pPr>
              <w:spacing w:after="40"/>
              <w:jc w:val="both"/>
            </w:pPr>
            <w:r>
              <w:rPr>
                <w:rFonts w:ascii="Times New Roman" w:cs="Times New Roman" w:eastAsia="Times New Roman" w:hAnsi="Times New Roman"/>
                <w:b w:val="false"/>
                <w:bCs w:val="false"/>
                <w:i w:val="false"/>
                <w:iCs w:val="false"/>
                <w:sz w:val="22"/>
                <w:szCs w:val="22"/>
              </w:rPr>
              <w:t xml:space="preserve">Tax ID: 312893995</w:t>
            </w:r>
          </w:p>
          <w:p>
            <w:pPr>
              <w:spacing w:after="40"/>
              <w:jc w:val="both"/>
            </w:pPr>
            <w:r>
              <w:rPr>
                <w:rFonts w:ascii="Times New Roman" w:cs="Times New Roman" w:eastAsia="Times New Roman" w:hAnsi="Times New Roman"/>
                <w:b w:val="false"/>
                <w:bCs w:val="false"/>
                <w:i w:val="false"/>
                <w:iCs w:val="false"/>
                <w:sz w:val="22"/>
                <w:szCs w:val="22"/>
              </w:rPr>
              <w:t xml:space="preserve">Bank account: 2020 8000 4074 2923 2001</w:t>
            </w:r>
          </w:p>
          <w:p>
            <w:pPr>
              <w:spacing w:after="40"/>
              <w:jc w:val="both"/>
            </w:pPr>
            <w:r>
              <w:rPr>
                <w:rFonts w:ascii="Times New Roman" w:cs="Times New Roman" w:eastAsia="Times New Roman" w:hAnsi="Times New Roman"/>
                <w:b w:val="false"/>
                <w:bCs w:val="false"/>
                <w:i w:val="false"/>
                <w:iCs w:val="false"/>
                <w:sz w:val="22"/>
                <w:szCs w:val="22"/>
              </w:rPr>
              <w:t xml:space="preserve">Bank: Business Development Bank</w:t>
            </w:r>
          </w:p>
          <w:p>
            <w:pPr>
              <w:spacing w:after="40"/>
              <w:jc w:val="both"/>
            </w:pPr>
            <w:r>
              <w:rPr>
                <w:rFonts w:ascii="Times New Roman" w:cs="Times New Roman" w:eastAsia="Times New Roman" w:hAnsi="Times New Roman"/>
                <w:b w:val="false"/>
                <w:bCs w:val="false"/>
                <w:i w:val="false"/>
                <w:iCs w:val="false"/>
                <w:sz w:val="22"/>
                <w:szCs w:val="22"/>
              </w:rPr>
              <w:t xml:space="preserve">Bank code (MFO): 01037</w:t>
            </w:r>
          </w:p>
          <w:p>
            <w:pPr>
              <w:spacing w:after="40"/>
              <w:jc w:val="both"/>
            </w:pPr>
            <w:r>
              <w:rPr>
                <w:rFonts w:ascii="Times New Roman" w:cs="Times New Roman" w:eastAsia="Times New Roman" w:hAnsi="Times New Roman"/>
                <w:b w:val="false"/>
                <w:bCs w:val="false"/>
                <w:i w:val="false"/>
                <w:iCs w:val="false"/>
                <w:sz w:val="22"/>
                <w:szCs w:val="22"/>
              </w:rPr>
              <w:t xml:space="preserve">Phone: +998 90 673 64 33</w:t>
            </w:r>
          </w:p>
          <w:p>
            <w:pPr>
              <w:spacing w:after="260"/>
              <w:jc w:val="both"/>
            </w:pPr>
            <w:r>
              <w:rPr>
                <w:rFonts w:ascii="Times New Roman" w:cs="Times New Roman" w:eastAsia="Times New Roman" w:hAnsi="Times New Roman"/>
                <w:b w:val="false"/>
                <w:bCs w:val="false"/>
                <w:i w:val="false"/>
                <w:iCs w:val="false"/>
                <w:sz w:val="22"/>
                <w:szCs w:val="22"/>
              </w:rPr>
              <w:t xml:space="preserve">Email: support@rumpublishing.uz</w:t>
            </w:r>
          </w:p>
          <w:p>
            <w:pPr>
              <w:spacing w:after="40"/>
              <w:jc w:val="both"/>
            </w:pPr>
            <w:r>
              <w:rPr>
                <w:rFonts w:ascii="Times New Roman" w:cs="Times New Roman" w:eastAsia="Times New Roman" w:hAnsi="Times New Roman"/>
                <w:b w:val="false"/>
                <w:bCs w:val="false"/>
                <w:i w:val="false"/>
                <w:iCs w:val="false"/>
                <w:sz w:val="22"/>
                <w:szCs w:val="22"/>
              </w:rPr>
              <w:t xml:space="preserve">Director: ____________ I.A. Yormurotov</w:t>
            </w:r>
          </w:p>
          <w:p>
            <w:pPr>
              <w:spacing w:after="0"/>
              <w:jc w:val="both"/>
            </w:pPr>
            <w:r>
              <w:rPr>
                <w:rFonts w:ascii="Times New Roman" w:cs="Times New Roman" w:eastAsia="Times New Roman" w:hAnsi="Times New Roman"/>
                <w:b w:val="false"/>
                <w:bCs w:val="false"/>
                <w:i w:val="false"/>
                <w:iCs w:val="false"/>
                <w:sz w:val="22"/>
                <w:szCs w:val="22"/>
              </w:rPr>
              <w:t xml:space="preserve">Seal</w:t>
            </w:r>
          </w:p>
        </w:tc>
        <w:tc>
          <w:tcPr>
            <w:tcW w:type="dxa" w:w="4820"/>
          </w:tcPr>
          <w:p>
            <w:pPr>
              <w:spacing w:after="100"/>
              <w:jc w:val="both"/>
            </w:pPr>
            <w:r>
              <w:rPr>
                <w:rFonts w:ascii="Times New Roman" w:cs="Times New Roman" w:eastAsia="Times New Roman" w:hAnsi="Times New Roman"/>
                <w:b/>
                <w:bCs/>
                <w:i w:val="false"/>
                <w:iCs w:val="false"/>
                <w:sz w:val="22"/>
                <w:szCs w:val="22"/>
              </w:rPr>
              <w:t xml:space="preserve">CLIENT:</w:t>
            </w:r>
          </w:p>
          <w:p>
            <w:pPr>
              <w:spacing w:after="40"/>
              <w:jc w:val="both"/>
            </w:pPr>
            <w:r>
              <w:rPr>
                <w:rFonts w:ascii="Times New Roman" w:cs="Times New Roman" w:eastAsia="Times New Roman" w:hAnsi="Times New Roman"/>
                <w:b w:val="false"/>
                <w:bCs w:val="false"/>
                <w:i w:val="false"/>
                <w:iCs w:val="false"/>
                <w:sz w:val="22"/>
                <w:szCs w:val="22"/>
              </w:rPr>
              <w:t xml:space="preserve">[Full name of organization]</w:t>
            </w:r>
          </w:p>
          <w:p>
            <w:pPr>
              <w:spacing w:after="40"/>
              <w:jc w:val="both"/>
            </w:pPr>
            <w:r>
              <w:rPr>
                <w:rFonts w:ascii="Times New Roman" w:cs="Times New Roman" w:eastAsia="Times New Roman" w:hAnsi="Times New Roman"/>
                <w:b w:val="false"/>
                <w:bCs w:val="false"/>
                <w:i w:val="false"/>
                <w:iCs w:val="false"/>
                <w:sz w:val="22"/>
                <w:szCs w:val="22"/>
              </w:rPr>
              <w:t xml:space="preserve">Address: [ ]</w:t>
            </w:r>
          </w:p>
          <w:p>
            <w:pPr>
              <w:spacing w:after="40"/>
              <w:jc w:val="both"/>
            </w:pPr>
            <w:r>
              <w:rPr>
                <w:rFonts w:ascii="Times New Roman" w:cs="Times New Roman" w:eastAsia="Times New Roman" w:hAnsi="Times New Roman"/>
                <w:b w:val="false"/>
                <w:bCs w:val="false"/>
                <w:i w:val="false"/>
                <w:iCs w:val="false"/>
                <w:sz w:val="22"/>
                <w:szCs w:val="22"/>
              </w:rPr>
              <w:t xml:space="preserve">Tax ID: [ ]</w:t>
            </w:r>
          </w:p>
          <w:p>
            <w:pPr>
              <w:spacing w:after="40"/>
              <w:jc w:val="both"/>
            </w:pPr>
            <w:r>
              <w:rPr>
                <w:rFonts w:ascii="Times New Roman" w:cs="Times New Roman" w:eastAsia="Times New Roman" w:hAnsi="Times New Roman"/>
                <w:b w:val="false"/>
                <w:bCs w:val="false"/>
                <w:i w:val="false"/>
                <w:iCs w:val="false"/>
                <w:sz w:val="22"/>
                <w:szCs w:val="22"/>
              </w:rPr>
              <w:t xml:space="preserve">Bank account: [ ]</w:t>
            </w:r>
          </w:p>
          <w:p>
            <w:pPr>
              <w:spacing w:after="40"/>
              <w:jc w:val="both"/>
            </w:pPr>
            <w:r>
              <w:rPr>
                <w:rFonts w:ascii="Times New Roman" w:cs="Times New Roman" w:eastAsia="Times New Roman" w:hAnsi="Times New Roman"/>
                <w:b w:val="false"/>
                <w:bCs w:val="false"/>
                <w:i w:val="false"/>
                <w:iCs w:val="false"/>
                <w:sz w:val="22"/>
                <w:szCs w:val="22"/>
              </w:rPr>
              <w:t xml:space="preserve">Bank: [ ]</w:t>
            </w:r>
          </w:p>
          <w:p>
            <w:pPr>
              <w:spacing w:after="40"/>
              <w:jc w:val="both"/>
            </w:pPr>
            <w:r>
              <w:rPr>
                <w:rFonts w:ascii="Times New Roman" w:cs="Times New Roman" w:eastAsia="Times New Roman" w:hAnsi="Times New Roman"/>
                <w:b w:val="false"/>
                <w:bCs w:val="false"/>
                <w:i w:val="false"/>
                <w:iCs w:val="false"/>
                <w:sz w:val="22"/>
                <w:szCs w:val="22"/>
              </w:rPr>
              <w:t xml:space="preserve">Bank code (MFO): [ ]</w:t>
            </w:r>
          </w:p>
          <w:p>
            <w:pPr>
              <w:spacing w:after="40"/>
              <w:jc w:val="both"/>
            </w:pPr>
            <w:r>
              <w:rPr>
                <w:rFonts w:ascii="Times New Roman" w:cs="Times New Roman" w:eastAsia="Times New Roman" w:hAnsi="Times New Roman"/>
                <w:b w:val="false"/>
                <w:bCs w:val="false"/>
                <w:i w:val="false"/>
                <w:iCs w:val="false"/>
                <w:sz w:val="22"/>
                <w:szCs w:val="22"/>
              </w:rPr>
              <w:t xml:space="preserve">Phone: [ ]</w:t>
            </w:r>
          </w:p>
          <w:p>
            <w:pPr>
              <w:spacing w:after="260"/>
              <w:jc w:val="both"/>
            </w:pPr>
            <w:r>
              <w:rPr>
                <w:rFonts w:ascii="Times New Roman" w:cs="Times New Roman" w:eastAsia="Times New Roman" w:hAnsi="Times New Roman"/>
                <w:b w:val="false"/>
                <w:bCs w:val="false"/>
                <w:i w:val="false"/>
                <w:iCs w:val="false"/>
                <w:sz w:val="22"/>
                <w:szCs w:val="22"/>
              </w:rPr>
              <w:t xml:space="preserve">Email: [ ]</w:t>
            </w:r>
          </w:p>
          <w:p>
            <w:pPr>
              <w:spacing w:after="40"/>
              <w:jc w:val="both"/>
            </w:pPr>
            <w:r>
              <w:rPr>
                <w:rFonts w:ascii="Times New Roman" w:cs="Times New Roman" w:eastAsia="Times New Roman" w:hAnsi="Times New Roman"/>
                <w:b w:val="false"/>
                <w:bCs w:val="false"/>
                <w:i w:val="false"/>
                <w:iCs w:val="false"/>
                <w:sz w:val="22"/>
                <w:szCs w:val="22"/>
              </w:rPr>
              <w:t xml:space="preserve">Head: ____________ / [Full name] /</w:t>
            </w:r>
          </w:p>
          <w:p>
            <w:pPr>
              <w:spacing w:after="0"/>
              <w:jc w:val="both"/>
            </w:pPr>
            <w:r>
              <w:rPr>
                <w:rFonts w:ascii="Times New Roman" w:cs="Times New Roman" w:eastAsia="Times New Roman" w:hAnsi="Times New Roman"/>
                <w:b w:val="false"/>
                <w:bCs w:val="false"/>
                <w:i w:val="false"/>
                <w:iCs w:val="false"/>
                <w:sz w:val="22"/>
                <w:szCs w:val="22"/>
              </w:rPr>
              <w:t xml:space="preserve">Seal</w:t>
            </w:r>
          </w:p>
        </w:tc>
      </w:tr>
    </w:tbl>
    <w:p>
      <w:r>
        <w:br w:type="page"/>
      </w:r>
    </w:p>
    <w:p>
      <w:pPr>
        <w:spacing w:after="40"/>
        <w:jc w:val="right"/>
      </w:pPr>
      <w:r>
        <w:rPr>
          <w:rFonts w:ascii="Times New Roman" w:cs="Times New Roman" w:eastAsia="Times New Roman" w:hAnsi="Times New Roman"/>
          <w:i/>
          <w:iCs/>
          <w:sz w:val="20"/>
          <w:szCs w:val="20"/>
        </w:rPr>
        <w:t xml:space="preserve">To Agreement No. [ ]</w:t>
      </w:r>
    </w:p>
    <w:p>
      <w:pPr>
        <w:spacing w:after="300"/>
        <w:jc w:val="right"/>
      </w:pPr>
      <w:r>
        <w:rPr>
          <w:rFonts w:ascii="Times New Roman" w:cs="Times New Roman" w:eastAsia="Times New Roman" w:hAnsi="Times New Roman"/>
          <w:b/>
          <w:bCs/>
          <w:sz w:val="20"/>
          <w:szCs w:val="20"/>
        </w:rPr>
        <w:t xml:space="preserve">ANNEX No. 1</w:t>
      </w:r>
    </w:p>
    <w:p>
      <w:pPr>
        <w:spacing w:after="260"/>
        <w:jc w:val="center"/>
      </w:pPr>
      <w:r>
        <w:rPr>
          <w:rFonts w:ascii="Times New Roman" w:cs="Times New Roman" w:eastAsia="Times New Roman" w:hAnsi="Times New Roman"/>
          <w:b/>
          <w:bCs/>
          <w:sz w:val="26"/>
          <w:szCs w:val="26"/>
        </w:rPr>
        <w:t xml:space="preserve">TARIFF SCHEDULE</w:t>
      </w:r>
    </w:p>
    <w:p>
      <w:pPr>
        <w:spacing w:after="160"/>
        <w:jc w:val="both"/>
      </w:pPr>
      <w:r>
        <w:rPr>
          <w:rFonts w:ascii="Times New Roman" w:cs="Times New Roman" w:eastAsia="Times New Roman" w:hAnsi="Times New Roman"/>
          <w:b w:val="false"/>
          <w:bCs w:val="false"/>
          <w:i w:val="false"/>
          <w:iCs w:val="false"/>
          <w:sz w:val="22"/>
          <w:szCs w:val="22"/>
        </w:rPr>
        <w:t xml:space="preserve">This Annex defines the service composition, limits, and monthly price for the tariff selected by the Client. The Client selects one of the three tariffs listed below (specified in clause 1.4 of the Agreement). Each higher tariff includes all services of the lower tariff below it.</w:t>
      </w:r>
    </w:p>
    <w:p>
      <w:pPr>
        <w:shd w:fill="E8E8E8" w:val="clear"/>
        <w:spacing w:after="120" w:before="300"/>
      </w:pPr>
      <w:r>
        <w:rPr>
          <w:rFonts w:ascii="Times New Roman" w:cs="Times New Roman" w:eastAsia="Times New Roman" w:hAnsi="Times New Roman"/>
          <w:b/>
          <w:bCs/>
          <w:sz w:val="24"/>
          <w:szCs w:val="24"/>
        </w:rPr>
        <w:t xml:space="preserve">BASIC TARIFF</w:t>
      </w:r>
    </w:p>
    <w:p>
      <w:pPr>
        <w:spacing w:after="80"/>
        <w:jc w:val="both"/>
      </w:pPr>
      <w:r>
        <w:rPr>
          <w:rFonts w:ascii="Times New Roman" w:cs="Times New Roman" w:eastAsia="Times New Roman" w:hAnsi="Times New Roman"/>
          <w:b/>
          <w:bCs/>
          <w:i w:val="false"/>
          <w:iCs w:val="false"/>
          <w:sz w:val="22"/>
          <w:szCs w:val="22"/>
        </w:rPr>
        <w:t xml:space="preserve">Service composition: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Placement of 1 journal website on the platform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10 GB storage (within the platform)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Website uptime monitoring</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SSL status monitoring</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Up to 2 minor support tickets per month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Weekly backup monitoring</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Technical support via email</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Basic security check</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Technical support ticket portal</w:t>
      </w:r>
    </w:p>
    <w:p>
      <w:pPr>
        <w:spacing w:after="80" w:before="200"/>
        <w:jc w:val="both"/>
      </w:pPr>
      <w:r>
        <w:rPr>
          <w:rFonts w:ascii="Times New Roman" w:cs="Times New Roman" w:eastAsia="Times New Roman" w:hAnsi="Times New Roman"/>
          <w:b/>
          <w:bCs/>
          <w:i w:val="false"/>
          <w:iCs w:val="false"/>
          <w:sz w:val="22"/>
          <w:szCs w:val="22"/>
        </w:rPr>
        <w:t xml:space="preserve">Monthly 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monthly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1st-month price (discounted)</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Monthly technical service subscription — indefinite, monthly subscription</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300,000 / month</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150,000 / month</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In-platform storage / Monthly support-ticket limit</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10 GB storage / up to 2 minor support tickets per month</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STANDARD TARIFF</w:t>
      </w:r>
    </w:p>
    <w:p>
      <w:pPr>
        <w:spacing w:after="80"/>
        <w:jc w:val="both"/>
      </w:pPr>
      <w:r>
        <w:rPr>
          <w:rFonts w:ascii="Times New Roman" w:cs="Times New Roman" w:eastAsia="Times New Roman" w:hAnsi="Times New Roman"/>
          <w:b/>
          <w:bCs/>
          <w:i w:val="false"/>
          <w:iCs w:val="false"/>
          <w:sz w:val="22"/>
          <w:szCs w:val="22"/>
        </w:rPr>
        <w:t xml:space="preserve">Service composition: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All services of the Basic tariff</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15 GB storage (within the platform)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Up to 5 support tickets per month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Monitoring of OJS updates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Minor changes to menus and pages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Monitoring of the email sending system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Technical support for DOI metadata</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Basic technical optimization for Google Scholar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Monthly technical report</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Expedited technical support</w:t>
      </w:r>
    </w:p>
    <w:p>
      <w:pPr>
        <w:spacing w:after="80" w:before="200"/>
        <w:jc w:val="both"/>
      </w:pPr>
      <w:r>
        <w:rPr>
          <w:rFonts w:ascii="Times New Roman" w:cs="Times New Roman" w:eastAsia="Times New Roman" w:hAnsi="Times New Roman"/>
          <w:b/>
          <w:bCs/>
          <w:i w:val="false"/>
          <w:iCs w:val="false"/>
          <w:sz w:val="22"/>
          <w:szCs w:val="22"/>
        </w:rPr>
        <w:t xml:space="preserve">Monthly 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monthly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1st-month price (discounted)</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Monthly technical service subscription — indefinite, monthly subscription</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400,000 / month</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200,000 / month</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In-platform storage / Monthly support-ticket limit</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15 GB storage / up to 5 support tickets per month</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PREMIUM TARIFF</w:t>
      </w:r>
    </w:p>
    <w:p>
      <w:pPr>
        <w:spacing w:after="80"/>
        <w:jc w:val="both"/>
      </w:pPr>
      <w:r>
        <w:rPr>
          <w:rFonts w:ascii="Times New Roman" w:cs="Times New Roman" w:eastAsia="Times New Roman" w:hAnsi="Times New Roman"/>
          <w:b/>
          <w:bCs/>
          <w:i w:val="false"/>
          <w:iCs w:val="false"/>
          <w:sz w:val="22"/>
          <w:szCs w:val="22"/>
        </w:rPr>
        <w:t xml:space="preserve">Service composition: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All services of the Standard tariff</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25 GB storage (within the platform)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Up to 10 support tickets per month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Priority technical support</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Technical contact via Telegram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Advanced management of OJS settings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Technical consulting on Crossref and DOI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Security monitoring</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Malware scanning</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Extended monthly report</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Dedicated account manager</w:t>
      </w:r>
    </w:p>
    <w:p>
      <w:pPr>
        <w:spacing w:after="80" w:before="200"/>
        <w:jc w:val="both"/>
      </w:pPr>
      <w:r>
        <w:rPr>
          <w:rFonts w:ascii="Times New Roman" w:cs="Times New Roman" w:eastAsia="Times New Roman" w:hAnsi="Times New Roman"/>
          <w:b/>
          <w:bCs/>
          <w:i w:val="false"/>
          <w:iCs w:val="false"/>
          <w:sz w:val="22"/>
          <w:szCs w:val="22"/>
        </w:rPr>
        <w:t xml:space="preserve">Monthly 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monthly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1st-month price (discounted)</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Monthly technical service subscription — indefinite, monthly subscription</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500,000 / month</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250,000 / month</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In-platform storage / Monthly support-ticket limit</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25 GB storage / up to 10 support tickets per month</w:t>
            </w:r>
          </w:p>
        </w:tc>
      </w:tr>
    </w:tbl>
    <w:p>
      <w:pPr>
        <w:spacing w:after="200"/>
      </w:pPr>
    </w:p>
    <w:p>
      <w:pPr>
        <w:spacing w:after="160"/>
        <w:jc w:val="both"/>
      </w:pPr>
      <w:r>
        <w:rPr>
          <w:rFonts w:ascii="Times New Roman" w:cs="Times New Roman" w:eastAsia="Times New Roman" w:hAnsi="Times New Roman"/>
          <w:b w:val="false"/>
          <w:bCs w:val="false"/>
          <w:i/>
          <w:iCs/>
          <w:sz w:val="20"/>
          <w:szCs w:val="20"/>
        </w:rPr>
        <w:t xml:space="preserve">Note: the full composition of the tariffs is provided in full on the rumpublishing.uz website in the corresponding tariff cards, and this annex is based on that official list. Creation of an independent website with a separate domain and hosting service are not included in these tariffs (clause 1.2 of the Agreement).</w:t>
      </w:r>
    </w:p>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This Annex is an integral part of the Agreement and is signed by the Parties:</w:t>
      </w:r>
    </w:p>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CONTRACTOR: ____________ / I.A. Yormurotov /            CLIENT: ____________ / [Full name] /</w:t>
      </w:r>
    </w:p>
    <w:sectPr>
      <w:pgSz w:w="11906" w:h="16838" w:orient="portrait"/>
      <w:pgMar w:top="1134" w:right="850"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2026-07-21T19:15:39.118Z</dcterms:created>
  <dcterms:modified xsi:type="dcterms:W3CDTF">2026-07-21T19:15:39.118Z</dcterms:modified>
</cp:coreProperties>
</file>

<file path=docProps/custom.xml><?xml version="1.0" encoding="utf-8"?>
<Properties xmlns="http://schemas.openxmlformats.org/officeDocument/2006/custom-properties" xmlns:vt="http://schemas.openxmlformats.org/officeDocument/2006/docPropsVTypes"/>
</file>